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52EDE">
      <w:pPr>
        <w:shd w:val="clear" w:color="auto" w:fill="FFFFFF"/>
        <w:spacing w:after="0" w:line="440" w:lineRule="exact"/>
        <w:jc w:val="center"/>
        <w:rPr>
          <w:rFonts w:hint="eastAsia" w:asciiTheme="minorEastAsia" w:hAnsiTheme="minorEastAsia" w:eastAsiaTheme="minorEastAsia" w:cstheme="minorEastAsia"/>
          <w:b/>
          <w:bCs w:val="0"/>
          <w:color w:val="000000" w:themeColor="text1"/>
          <w:spacing w:val="-20"/>
          <w:sz w:val="24"/>
          <w:szCs w:val="24"/>
          <w:highlight w:val="none"/>
          <w:lang w:val="en-US" w:eastAsia="zh-CN"/>
          <w14:textFill>
            <w14:solidFill>
              <w14:schemeClr w14:val="tx1"/>
            </w14:solidFill>
          </w14:textFill>
        </w:rPr>
      </w:pPr>
      <w:bookmarkStart w:id="3" w:name="_GoBack"/>
      <w:bookmarkEnd w:id="3"/>
      <w:r>
        <w:rPr>
          <w:rFonts w:hint="eastAsia" w:asciiTheme="minorEastAsia" w:hAnsiTheme="minorEastAsia" w:eastAsiaTheme="minorEastAsia" w:cstheme="minorEastAsia"/>
          <w:b/>
          <w:bCs w:val="0"/>
          <w:color w:val="000000" w:themeColor="text1"/>
          <w:spacing w:val="-20"/>
          <w:sz w:val="24"/>
          <w:szCs w:val="24"/>
          <w:highlight w:val="none"/>
          <w:lang w:val="en-US" w:eastAsia="zh-CN"/>
          <w14:textFill>
            <w14:solidFill>
              <w14:schemeClr w14:val="tx1"/>
            </w14:solidFill>
          </w14:textFill>
        </w:rPr>
        <w:t>扬州市江都人民医院</w:t>
      </w:r>
    </w:p>
    <w:p w14:paraId="1DFB6093">
      <w:pPr>
        <w:shd w:val="clear" w:color="auto" w:fill="FFFFFF"/>
        <w:spacing w:after="0" w:line="440" w:lineRule="exact"/>
        <w:jc w:val="center"/>
        <w:rPr>
          <w:rFonts w:hint="eastAsia" w:asciiTheme="minorEastAsia" w:hAnsiTheme="minorEastAsia" w:eastAsiaTheme="minorEastAsia" w:cstheme="minorEastAsia"/>
          <w:b/>
          <w:bCs w:val="0"/>
          <w:color w:val="000000" w:themeColor="text1"/>
          <w:spacing w:val="-20"/>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pacing w:val="-20"/>
          <w:sz w:val="28"/>
          <w:szCs w:val="28"/>
          <w:highlight w:val="none"/>
          <w:lang w:val="en-US" w:eastAsia="zh-CN"/>
          <w14:textFill>
            <w14:solidFill>
              <w14:schemeClr w14:val="tx1"/>
            </w14:solidFill>
          </w14:textFill>
        </w:rPr>
        <w:t>京沪宁高级专家会诊/转诊服务中心建设服务</w:t>
      </w:r>
      <w:r>
        <w:rPr>
          <w:rFonts w:hint="eastAsia" w:asciiTheme="minorEastAsia" w:hAnsiTheme="minorEastAsia" w:eastAsiaTheme="minorEastAsia" w:cstheme="minorEastAsia"/>
          <w:b/>
          <w:bCs w:val="0"/>
          <w:color w:val="000000" w:themeColor="text1"/>
          <w:spacing w:val="-20"/>
          <w:sz w:val="28"/>
          <w:szCs w:val="28"/>
          <w:highlight w:val="none"/>
          <w14:textFill>
            <w14:solidFill>
              <w14:schemeClr w14:val="tx1"/>
            </w14:solidFill>
          </w14:textFill>
        </w:rPr>
        <w:t>项目</w:t>
      </w:r>
      <w:r>
        <w:rPr>
          <w:rFonts w:hint="eastAsia" w:asciiTheme="minorEastAsia" w:hAnsiTheme="minorEastAsia" w:eastAsiaTheme="minorEastAsia" w:cstheme="minorEastAsia"/>
          <w:b/>
          <w:bCs w:val="0"/>
          <w:color w:val="000000" w:themeColor="text1"/>
          <w:spacing w:val="-20"/>
          <w:sz w:val="28"/>
          <w:szCs w:val="28"/>
          <w:highlight w:val="none"/>
          <w:lang w:val="en-US" w:eastAsia="zh-CN"/>
          <w14:textFill>
            <w14:solidFill>
              <w14:schemeClr w14:val="tx1"/>
            </w14:solidFill>
          </w14:textFill>
        </w:rPr>
        <w:t>采购</w:t>
      </w:r>
      <w:r>
        <w:rPr>
          <w:rFonts w:hint="eastAsia" w:asciiTheme="minorEastAsia" w:hAnsiTheme="minorEastAsia" w:eastAsiaTheme="minorEastAsia" w:cstheme="minorEastAsia"/>
          <w:b/>
          <w:bCs w:val="0"/>
          <w:color w:val="000000" w:themeColor="text1"/>
          <w:spacing w:val="-20"/>
          <w:sz w:val="28"/>
          <w:szCs w:val="28"/>
          <w:highlight w:val="none"/>
          <w14:textFill>
            <w14:solidFill>
              <w14:schemeClr w14:val="tx1"/>
            </w14:solidFill>
          </w14:textFill>
        </w:rPr>
        <w:t>需求</w:t>
      </w:r>
    </w:p>
    <w:p w14:paraId="1E8CC6A3">
      <w:pPr>
        <w:shd w:val="clear" w:color="auto" w:fill="FFFFFF"/>
        <w:spacing w:after="0" w:line="440" w:lineRule="exact"/>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项目基本情况</w:t>
      </w:r>
    </w:p>
    <w:p w14:paraId="34AC0FF4">
      <w:pPr>
        <w:shd w:val="clear" w:color="auto" w:fill="FFFFFF"/>
        <w:spacing w:after="0" w:line="440" w:lineRule="exact"/>
        <w:ind w:firstLine="480"/>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项目名称：</w:t>
      </w:r>
      <w:r>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t>京沪宁高级专家会诊/转诊服务中心</w:t>
      </w:r>
    </w:p>
    <w:p w14:paraId="69EF2B22">
      <w:pPr>
        <w:shd w:val="clear" w:color="auto" w:fill="FFFFFF"/>
        <w:spacing w:after="0" w:line="440" w:lineRule="exact"/>
        <w:ind w:firstLine="480"/>
        <w:rPr>
          <w:rFonts w:hint="default" w:asciiTheme="minorEastAsia" w:hAnsiTheme="minorEastAsia" w:eastAsiaTheme="minorEastAsia" w:cstheme="minorEastAsia"/>
          <w:bCs w:val="0"/>
          <w:color w:val="000000" w:themeColor="text1"/>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预算金额：</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人民币</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36 万</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元整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/年</w:t>
      </w:r>
    </w:p>
    <w:p w14:paraId="0449CF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Theme="minorEastAsia" w:hAnsiTheme="minorEastAsia" w:eastAsiaTheme="minorEastAsia" w:cstheme="minorEastAsia"/>
          <w:bCs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采购需求：</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为</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进一步提升县域医疗卫生服务能力，推动优质医疗卫生资源下沉，通过专家指导和联合会诊</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形式</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，带动本院团队技术成长，</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特别是手术能力的提升，</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通过引入上海及国内其他医疗高地国家级、省级重点学科及优质专家资源，与本院医疗团队协同合作，为患者提供精准、高效的诊疗方案，</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减少患者流失，</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助力医院学科建设能力与医疗服务质量提升</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p>
    <w:p w14:paraId="235CE70F">
      <w:pPr>
        <w:spacing w:after="0" w:line="440" w:lineRule="exact"/>
        <w:ind w:firstLine="480" w:firstLineChars="200"/>
        <w:rPr>
          <w:rFonts w:hint="eastAsia" w:asciiTheme="minorEastAsia" w:hAnsiTheme="minorEastAsia" w:eastAsiaTheme="minorEastAsia" w:cstheme="minorEastAsia"/>
          <w:bCs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合同履行期限：</w:t>
      </w: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自合同签订之日起</w:t>
      </w:r>
      <w:r>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年。</w:t>
      </w:r>
    </w:p>
    <w:p w14:paraId="64EE50DC">
      <w:pPr>
        <w:shd w:val="clear" w:color="auto" w:fill="FFFFFF"/>
        <w:spacing w:after="0" w:line="440" w:lineRule="exact"/>
        <w:ind w:firstLine="48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本项目不接受联合体</w:t>
      </w:r>
      <w:r>
        <w:rPr>
          <w:rFonts w:hint="eastAsia" w:asciiTheme="minorEastAsia" w:hAnsiTheme="minorEastAsia" w:eastAsiaTheme="minorEastAsia" w:cstheme="minorEastAsia"/>
          <w:bCs w:val="0"/>
          <w:color w:val="000000" w:themeColor="text1"/>
          <w:sz w:val="24"/>
          <w:szCs w:val="24"/>
          <w:highlight w:val="none"/>
          <w:u w:val="single"/>
          <w:lang w:val="en-US" w:eastAsia="zh-CN"/>
          <w14:textFill>
            <w14:solidFill>
              <w14:schemeClr w14:val="tx1"/>
            </w14:solidFill>
          </w14:textFill>
        </w:rPr>
        <w:t>服务</w:t>
      </w: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w:t>
      </w:r>
    </w:p>
    <w:p w14:paraId="3240590A">
      <w:pPr>
        <w:shd w:val="clear" w:color="auto" w:fill="FFFFFF"/>
        <w:spacing w:after="0" w:line="440" w:lineRule="exact"/>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bookmarkStart w:id="0" w:name="_Toc485992633"/>
      <w:bookmarkStart w:id="1" w:name="_Toc485977967"/>
      <w:bookmarkStart w:id="2" w:name="_Toc23714766"/>
    </w:p>
    <w:p w14:paraId="43A9B2FA">
      <w:pPr>
        <w:pageBreakBefore w:val="0"/>
        <w:widowControl/>
        <w:kinsoku/>
        <w:overflowPunct/>
        <w:topLinePunct w:val="0"/>
        <w:autoSpaceDE/>
        <w:bidi w:val="0"/>
        <w:spacing w:line="480" w:lineRule="exact"/>
        <w:rPr>
          <w:rFonts w:hint="eastAsia" w:asciiTheme="minorEastAsia" w:hAnsiTheme="minorEastAsia" w:eastAsiaTheme="minorEastAsia" w:cstheme="minorEastAsia"/>
          <w:b/>
          <w:bCs w:val="0"/>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w:t>
      </w:r>
      <w:r>
        <w:rPr>
          <w:rFonts w:hint="eastAsia" w:asciiTheme="minorEastAsia" w:hAnsiTheme="minorEastAsia" w:eastAsiaTheme="minorEastAsia" w:cstheme="minorEastAsia"/>
          <w:b/>
          <w:bCs w:val="0"/>
          <w:color w:val="000000" w:themeColor="text1"/>
          <w:sz w:val="24"/>
          <w:szCs w:val="24"/>
          <w:highlight w:val="none"/>
          <w:lang w:val="zh-CN"/>
          <w14:textFill>
            <w14:solidFill>
              <w14:schemeClr w14:val="tx1"/>
            </w14:solidFill>
          </w14:textFill>
        </w:rPr>
        <w:t>合格</w:t>
      </w: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服务商</w:t>
      </w:r>
      <w:r>
        <w:rPr>
          <w:rFonts w:hint="eastAsia" w:asciiTheme="minorEastAsia" w:hAnsiTheme="minorEastAsia" w:eastAsiaTheme="minorEastAsia" w:cstheme="minorEastAsia"/>
          <w:b/>
          <w:bCs w:val="0"/>
          <w:color w:val="000000" w:themeColor="text1"/>
          <w:sz w:val="24"/>
          <w:szCs w:val="24"/>
          <w:highlight w:val="none"/>
          <w:lang w:val="zh-CN"/>
          <w14:textFill>
            <w14:solidFill>
              <w14:schemeClr w14:val="tx1"/>
            </w14:solidFill>
          </w14:textFill>
        </w:rPr>
        <w:t>资格要求</w:t>
      </w:r>
    </w:p>
    <w:p w14:paraId="3FE13CBC">
      <w:pPr>
        <w:widowControl w:val="0"/>
        <w:spacing w:after="0" w:line="440" w:lineRule="exact"/>
        <w:ind w:right="50"/>
        <w:rPr>
          <w:rFonts w:hint="eastAsia" w:cs="Times New Roman"/>
          <w:b/>
          <w:bCs w:val="0"/>
          <w:color w:val="000000" w:themeColor="text1"/>
          <w:highlight w:val="none"/>
          <w14:textFill>
            <w14:solidFill>
              <w14:schemeClr w14:val="tx1"/>
            </w14:solidFill>
          </w14:textFill>
        </w:rPr>
      </w:pPr>
      <w:r>
        <w:rPr>
          <w:rFonts w:hint="eastAsia" w:cs="Times New Roman"/>
          <w:b/>
          <w:bCs w:val="0"/>
          <w:color w:val="000000" w:themeColor="text1"/>
          <w:highlight w:val="none"/>
          <w14:textFill>
            <w14:solidFill>
              <w14:schemeClr w14:val="tx1"/>
            </w14:solidFill>
          </w14:textFill>
        </w:rPr>
        <w:t>满足《中华人民共和国政府采购法》第二十二条规定，并提供下列材料：</w:t>
      </w:r>
    </w:p>
    <w:p w14:paraId="7D225512">
      <w:pPr>
        <w:shd w:val="clear" w:color="auto" w:fill="FFFFFF"/>
        <w:spacing w:after="0" w:line="440" w:lineRule="exact"/>
        <w:ind w:firstLine="480" w:firstLineChars="200"/>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服务商</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须具有独立法人资格，具有有效的营业执照、税务登记证和组织</w:t>
      </w: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机构代码证（或三证合一）；</w:t>
      </w:r>
    </w:p>
    <w:p w14:paraId="3D9B89A6">
      <w:pPr>
        <w:shd w:val="clear" w:color="auto" w:fill="FFFFFF"/>
        <w:spacing w:after="0" w:line="440" w:lineRule="exact"/>
        <w:ind w:firstLine="48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t>服务商</w:t>
      </w: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存在以下不良信用记录情形之一的，不得推荐为</w:t>
      </w:r>
      <w:r>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候选人，不得确定为</w:t>
      </w:r>
      <w:r>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t>最终服务商</w:t>
      </w: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w:t>
      </w:r>
    </w:p>
    <w:p w14:paraId="310D7F44">
      <w:pPr>
        <w:shd w:val="clear" w:color="auto" w:fill="FFFFFF"/>
        <w:spacing w:after="0" w:line="440" w:lineRule="exact"/>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.1未被“信用中国”网站（www.creditchina.gov.cn）列入失信被执行人、重大税收违法案件当事人名单、政府采购严重失信行为记录名单。（提供网页截图）</w:t>
      </w:r>
    </w:p>
    <w:p w14:paraId="52E8B5FD">
      <w:pPr>
        <w:shd w:val="clear" w:color="auto" w:fill="FFFFFF"/>
        <w:spacing w:after="0" w:line="440" w:lineRule="exact"/>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参加政府采购活动前3年内在经营活动中没有重大违法记录的书面声明；</w:t>
      </w:r>
    </w:p>
    <w:p w14:paraId="6159F72B">
      <w:pPr>
        <w:pageBreakBefore w:val="0"/>
        <w:widowControl/>
        <w:kinsoku/>
        <w:overflowPunct/>
        <w:topLinePunct w:val="0"/>
        <w:autoSpaceDE/>
        <w:bidi w:val="0"/>
        <w:spacing w:line="480" w:lineRule="exact"/>
        <w:ind w:firstLine="480" w:firstLineChars="20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具备履行合同所必需的设备和专业技术能力的</w:t>
      </w:r>
      <w:r>
        <w:rPr>
          <w:rFonts w:hint="eastAsia" w:cs="宋体"/>
          <w:color w:val="000000" w:themeColor="text1"/>
          <w:kern w:val="0"/>
          <w:sz w:val="24"/>
          <w:szCs w:val="24"/>
          <w:highlight w:val="none"/>
          <w:lang w:val="en-US" w:eastAsia="zh-CN"/>
          <w14:textFill>
            <w14:solidFill>
              <w14:schemeClr w14:val="tx1"/>
            </w14:solidFill>
          </w14:textFill>
        </w:rPr>
        <w:t>书面声明</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39A7B037">
      <w:pPr>
        <w:widowControl w:val="0"/>
        <w:spacing w:after="0" w:line="440" w:lineRule="exact"/>
        <w:ind w:right="50"/>
        <w:rPr>
          <w:b/>
          <w:bCs w:val="0"/>
          <w:color w:val="000000" w:themeColor="text1"/>
          <w:highlight w:val="none"/>
          <w14:textFill>
            <w14:solidFill>
              <w14:schemeClr w14:val="tx1"/>
            </w14:solidFill>
          </w14:textFill>
        </w:rPr>
      </w:pPr>
      <w:r>
        <w:rPr>
          <w:rFonts w:hint="eastAsia"/>
          <w:b/>
          <w:bCs w:val="0"/>
          <w:color w:val="000000" w:themeColor="text1"/>
          <w:highlight w:val="none"/>
          <w:lang w:val="en-US" w:eastAsia="zh-CN"/>
          <w14:textFill>
            <w14:solidFill>
              <w14:schemeClr w14:val="tx1"/>
            </w14:solidFill>
          </w14:textFill>
        </w:rPr>
        <w:t>采购</w:t>
      </w:r>
      <w:r>
        <w:rPr>
          <w:b/>
          <w:bCs w:val="0"/>
          <w:color w:val="000000" w:themeColor="text1"/>
          <w:highlight w:val="none"/>
          <w14:textFill>
            <w14:solidFill>
              <w14:schemeClr w14:val="tx1"/>
            </w14:solidFill>
          </w14:textFill>
        </w:rPr>
        <w:t>文件属下列情况之一的，在资格性、符合性检查时按无效</w:t>
      </w:r>
      <w:r>
        <w:rPr>
          <w:rFonts w:hint="eastAsia"/>
          <w:b/>
          <w:bCs w:val="0"/>
          <w:color w:val="000000" w:themeColor="text1"/>
          <w:highlight w:val="none"/>
          <w:u w:val="single"/>
          <w:lang w:val="en-US" w:eastAsia="zh-CN"/>
          <w14:textFill>
            <w14:solidFill>
              <w14:schemeClr w14:val="tx1"/>
            </w14:solidFill>
          </w14:textFill>
        </w:rPr>
        <w:t>提供</w:t>
      </w:r>
      <w:r>
        <w:rPr>
          <w:b/>
          <w:bCs w:val="0"/>
          <w:color w:val="000000" w:themeColor="text1"/>
          <w:highlight w:val="none"/>
          <w14:textFill>
            <w14:solidFill>
              <w14:schemeClr w14:val="tx1"/>
            </w14:solidFill>
          </w14:textFill>
        </w:rPr>
        <w:t>处理：</w:t>
      </w:r>
    </w:p>
    <w:p w14:paraId="1F79BC1F">
      <w:pPr>
        <w:widowControl w:val="0"/>
        <w:spacing w:after="0" w:line="440" w:lineRule="exact"/>
        <w:ind w:left="50" w:right="50" w:firstLine="360" w:firstLineChars="15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文件未按文件要求签章的</w:t>
      </w:r>
      <w:r>
        <w:rPr>
          <w:color w:val="000000" w:themeColor="text1"/>
          <w:highlight w:val="none"/>
          <w14:textFill>
            <w14:solidFill>
              <w14:schemeClr w14:val="tx1"/>
            </w14:solidFill>
          </w14:textFill>
        </w:rPr>
        <w:t>；</w:t>
      </w:r>
    </w:p>
    <w:p w14:paraId="6DEFE877">
      <w:pPr>
        <w:widowControl w:val="0"/>
        <w:spacing w:after="0" w:line="440" w:lineRule="exact"/>
        <w:ind w:left="50" w:right="50" w:firstLine="360" w:firstLineChars="15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不具备</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文件中规定的资格要求的</w:t>
      </w:r>
      <w:r>
        <w:rPr>
          <w:color w:val="000000" w:themeColor="text1"/>
          <w:highlight w:val="none"/>
          <w14:textFill>
            <w14:solidFill>
              <w14:schemeClr w14:val="tx1"/>
            </w14:solidFill>
          </w14:textFill>
        </w:rPr>
        <w:t>；</w:t>
      </w:r>
    </w:p>
    <w:p w14:paraId="6D3958F5">
      <w:pPr>
        <w:widowControl w:val="0"/>
        <w:spacing w:after="0" w:line="440" w:lineRule="exact"/>
        <w:ind w:left="50" w:right="50" w:firstLine="360" w:firstLineChars="15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报价超过</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文件中规定的预算金额或者最高限价的；</w:t>
      </w:r>
    </w:p>
    <w:p w14:paraId="571972AF">
      <w:pPr>
        <w:widowControl w:val="0"/>
        <w:spacing w:after="0" w:line="440" w:lineRule="exact"/>
        <w:ind w:left="50" w:right="50" w:firstLine="360"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文件含有采购人不能接受的附加条件的；</w:t>
      </w:r>
    </w:p>
    <w:p w14:paraId="3B0E8C2A">
      <w:pPr>
        <w:widowControl w:val="0"/>
        <w:spacing w:after="0" w:line="440" w:lineRule="exact"/>
        <w:ind w:left="50" w:right="50" w:firstLine="360" w:firstLineChars="150"/>
        <w:rPr>
          <w:rFonts w:hint="eastAsia" w:asciiTheme="minorEastAsia" w:hAnsiTheme="minorEastAsia" w:eastAsiaTheme="minorEastAsia" w:cstheme="minorEastAsia"/>
          <w:b/>
          <w:bCs w:val="0"/>
          <w:color w:val="000000" w:themeColor="text1"/>
          <w:sz w:val="24"/>
          <w:szCs w:val="24"/>
          <w:highlight w:val="none"/>
          <w:lang w:val="zh-CN" w:eastAsia="zh-CN"/>
          <w14:textFill>
            <w14:solidFill>
              <w14:schemeClr w14:val="tx1"/>
            </w14:solidFill>
          </w14:textFill>
        </w:rPr>
      </w:pPr>
      <w:r>
        <w:rPr>
          <w:rFonts w:hint="eastAsia"/>
          <w:bCs w:val="0"/>
          <w:color w:val="000000" w:themeColor="text1"/>
          <w:highlight w:val="none"/>
          <w14:textFill>
            <w14:solidFill>
              <w14:schemeClr w14:val="tx1"/>
            </w14:solidFill>
          </w14:textFill>
        </w:rPr>
        <w:t>（</w:t>
      </w:r>
      <w:r>
        <w:rPr>
          <w:bCs w:val="0"/>
          <w:color w:val="000000" w:themeColor="text1"/>
          <w:highlight w:val="none"/>
          <w14:textFill>
            <w14:solidFill>
              <w14:schemeClr w14:val="tx1"/>
            </w14:solidFill>
          </w14:textFill>
        </w:rPr>
        <w:t>5</w:t>
      </w:r>
      <w:r>
        <w:rPr>
          <w:rFonts w:hint="eastAsia"/>
          <w:bCs w:val="0"/>
          <w:color w:val="000000" w:themeColor="text1"/>
          <w:highlight w:val="none"/>
          <w14:textFill>
            <w14:solidFill>
              <w14:schemeClr w14:val="tx1"/>
            </w14:solidFill>
          </w14:textFill>
        </w:rPr>
        <w:t>）法律、法规和</w:t>
      </w:r>
      <w:r>
        <w:rPr>
          <w:rFonts w:hint="eastAsia"/>
          <w:bCs w:val="0"/>
          <w:color w:val="000000" w:themeColor="text1"/>
          <w:highlight w:val="none"/>
          <w:lang w:val="en-US" w:eastAsia="zh-CN"/>
          <w14:textFill>
            <w14:solidFill>
              <w14:schemeClr w14:val="tx1"/>
            </w14:solidFill>
          </w14:textFill>
        </w:rPr>
        <w:t>采购</w:t>
      </w:r>
      <w:r>
        <w:rPr>
          <w:rFonts w:hint="eastAsia"/>
          <w:bCs w:val="0"/>
          <w:color w:val="000000" w:themeColor="text1"/>
          <w:highlight w:val="none"/>
          <w14:textFill>
            <w14:solidFill>
              <w14:schemeClr w14:val="tx1"/>
            </w14:solidFill>
          </w14:textFill>
        </w:rPr>
        <w:t>文件规定的其他无效情形。</w:t>
      </w:r>
    </w:p>
    <w:p w14:paraId="1F37C0E4">
      <w:pPr>
        <w:widowControl w:val="0"/>
        <w:spacing w:after="0" w:line="440" w:lineRule="exact"/>
        <w:ind w:right="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有下列情形之一者，应予</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终止</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p>
    <w:p w14:paraId="19EB763C">
      <w:pPr>
        <w:widowControl w:val="0"/>
        <w:spacing w:after="0" w:line="440" w:lineRule="exact"/>
        <w:ind w:left="50" w:right="50" w:firstLine="360" w:firstLineChars="1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（1）符合条件的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或者对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件作实质响应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服务商</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不足</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家的，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废止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5F8F62B2">
      <w:pPr>
        <w:widowControl w:val="0"/>
        <w:spacing w:after="0" w:line="440" w:lineRule="exact"/>
        <w:ind w:left="50" w:right="50" w:firstLine="360" w:firstLineChars="1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（2）出现影响采购公正的违法、违规行为的；</w:t>
      </w:r>
    </w:p>
    <w:p w14:paraId="1F81D9AA">
      <w:pPr>
        <w:widowControl w:val="0"/>
        <w:spacing w:after="0" w:line="440" w:lineRule="exact"/>
        <w:ind w:left="50" w:right="50" w:firstLine="360" w:firstLineChars="1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的报价均超过了采购预算，采购人不能支付的；</w:t>
      </w:r>
    </w:p>
    <w:p w14:paraId="42672BA5">
      <w:pPr>
        <w:widowControl w:val="0"/>
        <w:spacing w:after="0" w:line="440" w:lineRule="exact"/>
        <w:ind w:left="50" w:right="50" w:firstLine="360" w:firstLineChars="150"/>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（4）因重大变故，采购任务取消的。</w:t>
      </w:r>
    </w:p>
    <w:p w14:paraId="56F24C76">
      <w:pPr>
        <w:widowControl w:val="0"/>
        <w:spacing w:after="0" w:line="440" w:lineRule="exact"/>
        <w:ind w:right="50"/>
        <w:rPr>
          <w:rFonts w:hint="default"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三、项目服务内容及要求</w:t>
      </w:r>
    </w:p>
    <w:p w14:paraId="3EC0A8CB">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（一）专家赋能</w:t>
      </w:r>
    </w:p>
    <w:p w14:paraId="07D6638C">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1.专家库建立</w:t>
      </w:r>
    </w:p>
    <w:p w14:paraId="7F943DF3">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（1）乙方提供全面的专家资源库，甲方各科室根据实际需求从中遴选2—3位专家作为科室首席合作专家，</w:t>
      </w:r>
    </w:p>
    <w:p w14:paraId="550F360C">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（2）乙方协助甲方入库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京沪宁</w:t>
      </w: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知名三甲医院副高级以上专家不低于60位；</w:t>
      </w:r>
    </w:p>
    <w:p w14:paraId="15843E3E">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（3）甲方各科室与会诊服务中心紧密协作，各科室提供1—2位长期合作外院专家与会诊服务中心专家库进行统一管理；</w:t>
      </w:r>
    </w:p>
    <w:p w14:paraId="32421742">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（4）双方共同建立会诊要求的闭环管理体系，明确会诊流程的各个环节及责任分工，从患者咨询、专家邀请、会诊实施到诊疗随访等，确保会诊流程的顺畅与高效。</w:t>
      </w:r>
    </w:p>
    <w:p w14:paraId="4A0509AD">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2.专家对接</w:t>
      </w:r>
    </w:p>
    <w:p w14:paraId="3CC6C007">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（1）根据患者要求与科室确定会诊专家邀请人选，同步整理患者病史资料发给专家，对拟邀请专家发出会诊预约；</w:t>
      </w:r>
    </w:p>
    <w:p w14:paraId="1B69DDE9">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（2）按照约定的时间组织经治科室医生、患者或其监护人、专家开展线上会诊，制定患者诊疗方案。</w:t>
      </w:r>
    </w:p>
    <w:p w14:paraId="7D1AC17D">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3.专家响应时间</w:t>
      </w:r>
    </w:p>
    <w:p w14:paraId="2A08575B">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（1）线上会诊24至48小时完成；</w:t>
      </w:r>
    </w:p>
    <w:p w14:paraId="2C90ED49">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（2）普通线下择期会诊：正高级职称专家两周以内完成；副高级职称专家一周以内完成；</w:t>
      </w:r>
    </w:p>
    <w:p w14:paraId="67533D04">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（3）紧急会诊、特需会诊一诊一议。</w:t>
      </w:r>
    </w:p>
    <w:p w14:paraId="42A1D73E">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（二）患者引流</w:t>
      </w:r>
    </w:p>
    <w:p w14:paraId="27B46F4D">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1.甲方支持在医院门诊大厅显要位置设立</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京沪宁高级专家会诊/转诊服务中心</w:t>
      </w: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，利用位置优势吸引来院患者的关注。</w:t>
      </w:r>
    </w:p>
    <w:p w14:paraId="246B792D">
      <w:pPr>
        <w:widowControl w:val="0"/>
        <w:spacing w:after="0" w:line="440" w:lineRule="exact"/>
        <w:ind w:left="50" w:right="50" w:firstLine="360" w:firstLineChars="1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2.乙方通过服务介绍、专家展示等多方面，提升患者对会诊服务中心的关注，有效引流患者至中心进行咨询。</w:t>
      </w:r>
    </w:p>
    <w:bookmarkEnd w:id="0"/>
    <w:bookmarkEnd w:id="1"/>
    <w:bookmarkEnd w:id="2"/>
    <w:p w14:paraId="7A20DDAB">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（三）患者转化</w:t>
      </w:r>
    </w:p>
    <w:p w14:paraId="2EC837BE">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1.甲方协助乙方每年开展一次全院中层干部以上的宣教会议。</w:t>
      </w:r>
    </w:p>
    <w:p w14:paraId="205A23A6">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2.乙方每年开展4次科室培训会议。</w:t>
      </w:r>
    </w:p>
    <w:p w14:paraId="7F761B9B">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3.乙方每年走访合作区域内医疗机构不低于5次。</w:t>
      </w:r>
    </w:p>
    <w:p w14:paraId="151CAF3A">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4.甲方各科室主任负责协同会诊中心的患者转化，双方明确有外院专家会诊需求的患者，全部通过会诊中心进行转化。</w:t>
      </w:r>
    </w:p>
    <w:p w14:paraId="32CEF5F3">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5.甲方鼓励疑难重症患者或有更高诊疗需求的患者引导至会诊服务中心，通过专家品牌促进转化，每科室向会诊服务中心引流患者数量不低于2人次/月。</w:t>
      </w:r>
    </w:p>
    <w:p w14:paraId="406FA233">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6.医院阳性病人跟踪转化服务。甲方协助乙方建立阳性病人的闭环管理，医院阳性病人的检验报告通过会诊服务中心领取，会诊服务中心为医院阳性病人提供跟踪转化服务。</w:t>
      </w:r>
    </w:p>
    <w:p w14:paraId="6B5E2F7F">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（四）宣传推广</w:t>
      </w:r>
    </w:p>
    <w:p w14:paraId="4C2235F4">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1.乙方为甲方提供会诊中心宣传推广服务，制定并执行不低于2次/月的宣传推广计划。</w:t>
      </w:r>
    </w:p>
    <w:p w14:paraId="740BCAA0">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（1）院方公众号发文2次/月，宣传视频推广1次/月；</w:t>
      </w:r>
    </w:p>
    <w:p w14:paraId="6556F5CE">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（2）宣传册、三折页投放点支持；</w:t>
      </w:r>
    </w:p>
    <w:p w14:paraId="00853021">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（3）易拉宝不低于15个点位投放（诊疗区、住院部、电梯口等）；</w:t>
      </w:r>
    </w:p>
    <w:p w14:paraId="0F9A9539">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（4）会诊服务中心及相关科室自媒体推广服务。</w:t>
      </w:r>
    </w:p>
    <w:p w14:paraId="637B3C71">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2.甲方</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利用医院内部资源</w:t>
      </w: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及</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社会媒体平台</w:t>
      </w: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配合乙方进行会诊服务中心的宣传推广。</w:t>
      </w:r>
    </w:p>
    <w:p w14:paraId="654AA2A3">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）诊前服务</w:t>
      </w:r>
    </w:p>
    <w:p w14:paraId="2FD1444F">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1.会诊专家信息咨询</w:t>
      </w:r>
    </w:p>
    <w:p w14:paraId="591AEE22">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bCs/>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（1）</w:t>
      </w:r>
      <w:r>
        <w:rPr>
          <w:rFonts w:hint="eastAsia" w:cs="宋体"/>
          <w:b w:val="0"/>
          <w:bCs w:val="0"/>
          <w:color w:val="000000" w:themeColor="text1"/>
          <w:szCs w:val="21"/>
          <w:highlight w:val="none"/>
          <w14:textFill>
            <w14:solidFill>
              <w14:schemeClr w14:val="tx1"/>
            </w14:solidFill>
          </w14:textFill>
        </w:rPr>
        <w:t>上海及国内其他医疗高地国家级、省级重点学科及专家团队数据库整理备询</w:t>
      </w:r>
      <w:r>
        <w:rPr>
          <w:rFonts w:hint="eastAsia" w:cs="宋体"/>
          <w:b w:val="0"/>
          <w:bCs w:val="0"/>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入库副高级以上专家不低于60位；</w:t>
      </w:r>
      <w:r>
        <w:rPr>
          <w:rFonts w:hint="eastAsia" w:asciiTheme="minorEastAsia" w:hAnsiTheme="minorEastAsia" w:eastAsiaTheme="minorEastAsia" w:cstheme="minorEastAsia"/>
          <w:b/>
          <w:bCs/>
          <w:color w:val="000000" w:themeColor="text1"/>
          <w:sz w:val="24"/>
          <w:szCs w:val="24"/>
          <w:highlight w:val="none"/>
          <w:lang w:val="zh-CN" w:eastAsia="zh-CN"/>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需要服务商提供合作专家名单，格式自拟</w:t>
      </w:r>
      <w:r>
        <w:rPr>
          <w:rFonts w:hint="eastAsia" w:asciiTheme="minorEastAsia" w:hAnsiTheme="minorEastAsia" w:eastAsiaTheme="minorEastAsia" w:cstheme="minorEastAsia"/>
          <w:b/>
          <w:bCs/>
          <w:color w:val="000000" w:themeColor="text1"/>
          <w:sz w:val="24"/>
          <w:szCs w:val="24"/>
          <w:highlight w:val="none"/>
          <w:lang w:val="zh-CN" w:eastAsia="zh-CN"/>
          <w14:textFill>
            <w14:solidFill>
              <w14:schemeClr w14:val="tx1"/>
            </w14:solidFill>
          </w14:textFill>
        </w:rPr>
        <w:t>）</w:t>
      </w:r>
    </w:p>
    <w:p w14:paraId="0A361B80">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（2）根据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或患者要求，提供拟邀请专家、备选专家所在医院及专家本人最新资料、专家日程安排等详细信息备询。</w:t>
      </w:r>
    </w:p>
    <w:p w14:paraId="7A495FF1">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2.会诊意向确认</w:t>
      </w:r>
    </w:p>
    <w:p w14:paraId="19C87FB3">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）对各方关切的风险、费用等问题予以充分反馈和交流，做到信息透明、充分知情，确认会诊意向；</w:t>
      </w:r>
    </w:p>
    <w:p w14:paraId="6B9AE5F5">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）与患者或其监护人签署会诊咨询服务协议</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，约定会诊时间，收取会诊服务费用</w:t>
      </w: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含专家的通勤、食宿等费用等</w:t>
      </w: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提供正式收费票据。</w:t>
      </w:r>
    </w:p>
    <w:p w14:paraId="70F6048C">
      <w:pPr>
        <w:widowControl w:val="0"/>
        <w:autoSpaceDE w:val="0"/>
        <w:autoSpaceDN w:val="0"/>
        <w:adjustRightInd w:val="0"/>
        <w:spacing w:after="0" w:line="440" w:lineRule="exact"/>
        <w:ind w:firstLine="480" w:firstLineChars="200"/>
        <w:rPr>
          <w:rFonts w:hint="default"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整理患者资料病史，对专家发出会诊邀请。</w:t>
      </w:r>
    </w:p>
    <w:p w14:paraId="43D96C37">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3.专家行程安排与诊前沟通</w:t>
      </w:r>
    </w:p>
    <w:p w14:paraId="186773A3">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（1）根据约定的会诊时间，规划专家会诊行程，同步通报专家、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采购人</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、患者；</w:t>
      </w:r>
    </w:p>
    <w:p w14:paraId="4AD8061E">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（2）根据专家行程进展，提醒</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采购人</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和患者做好诊前、术前准备和服务对接</w:t>
      </w: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w:t>
      </w:r>
    </w:p>
    <w:p w14:paraId="3A733190">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六</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）诊中服务</w:t>
      </w:r>
    </w:p>
    <w:p w14:paraId="430B1D78">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线上会诊组织与主持、保持会诊秩序</w:t>
      </w: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w:t>
      </w:r>
    </w:p>
    <w:p w14:paraId="6D672B26">
      <w:pPr>
        <w:widowControl w:val="0"/>
        <w:autoSpaceDE w:val="0"/>
        <w:autoSpaceDN w:val="0"/>
        <w:adjustRightInd w:val="0"/>
        <w:spacing w:after="0" w:line="440" w:lineRule="exact"/>
        <w:ind w:firstLine="480" w:firstLineChars="200"/>
        <w:rPr>
          <w:rFonts w:hint="default"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专家会诊意见记录，患者病例资料补充传输等。</w:t>
      </w:r>
    </w:p>
    <w:p w14:paraId="3F312F50">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七</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）诊后服务</w:t>
      </w:r>
    </w:p>
    <w:p w14:paraId="24F92A36">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1.诊后随访</w:t>
      </w:r>
    </w:p>
    <w:p w14:paraId="4BA6F022">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（1）会诊结束后，定期对患者进行随访，跟进了解患者治疗效果、病情变化、恢复情况，并将随访信息及时反馈给经治科室和会诊专家；</w:t>
      </w:r>
    </w:p>
    <w:p w14:paraId="3E804BDB">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（2）对会诊服务开展满意度调查，了解患者的会诊服务体验、对经治科室与会诊专家的评价，持续提升服务质量。</w:t>
      </w:r>
    </w:p>
    <w:p w14:paraId="4FEEC92D">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.结合会诊大数据，为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采购人</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对接学科建设服务。</w:t>
      </w:r>
    </w:p>
    <w:p w14:paraId="1A5284BC">
      <w:pPr>
        <w:widowControl w:val="0"/>
        <w:autoSpaceDE w:val="0"/>
        <w:autoSpaceDN w:val="0"/>
        <w:adjustRightInd w:val="0"/>
        <w:spacing w:after="0" w:line="440" w:lineRule="exact"/>
        <w:ind w:firstLine="480" w:firstLineChars="200"/>
        <w:rPr>
          <w:rFonts w:hint="default"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八</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服务流程</w:t>
      </w:r>
    </w:p>
    <w:p w14:paraId="70381D0B">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患者</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提出会诊服务需求；</w:t>
      </w:r>
    </w:p>
    <w:p w14:paraId="33798D6F">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确定</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邀请专家人选；</w:t>
      </w:r>
    </w:p>
    <w:p w14:paraId="5C230DCF">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3.履行会诊邀请手续，发出会诊邀请；</w:t>
      </w:r>
    </w:p>
    <w:p w14:paraId="28870D91">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4.采集患者病史资料，</w:t>
      </w: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经患者及</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采购人</w:t>
      </w:r>
      <w:r>
        <w:rPr>
          <w:rFonts w:hint="eastAsia" w:asciiTheme="minorEastAsia" w:hAnsiTheme="minorEastAsia" w:eastAsiaTheme="minorEastAsia" w:cstheme="minorEastAsia"/>
          <w:b w:val="0"/>
          <w:bCs w:val="0"/>
          <w:color w:val="000000" w:themeColor="text1"/>
          <w:sz w:val="24"/>
          <w:szCs w:val="24"/>
          <w:highlight w:val="none"/>
          <w:lang w:val="zh-CN" w:eastAsia="zh-CN"/>
          <w14:textFill>
            <w14:solidFill>
              <w14:schemeClr w14:val="tx1"/>
            </w14:solidFill>
          </w14:textFill>
        </w:rPr>
        <w:t>同意后</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发送给会诊专家；</w:t>
      </w:r>
    </w:p>
    <w:p w14:paraId="1D8C3AC8">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.签署《会诊咨询服务协议》，收取服务费，并提供正式票据；</w:t>
      </w:r>
    </w:p>
    <w:p w14:paraId="7C3AA450">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.按约开展会诊。</w:t>
      </w:r>
    </w:p>
    <w:p w14:paraId="1F589774">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九</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）响应组织</w:t>
      </w:r>
    </w:p>
    <w:p w14:paraId="098551CD">
      <w:pPr>
        <w:widowControl w:val="0"/>
        <w:autoSpaceDE w:val="0"/>
        <w:autoSpaceDN w:val="0"/>
        <w:adjustRightInd w:val="0"/>
        <w:spacing w:after="0"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会诊服务全程由</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服务商</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组织实施。</w:t>
      </w:r>
    </w:p>
    <w:p w14:paraId="56802724">
      <w:pPr>
        <w:rPr>
          <w:b w:val="0"/>
          <w:bCs/>
          <w:color w:val="000000" w:themeColor="text1"/>
          <w14:textFill>
            <w14:solidFill>
              <w14:schemeClr w14:val="tx1"/>
            </w14:solidFill>
          </w14:textFill>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73F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B374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AB374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D7A32"/>
    <w:rsid w:val="28B14651"/>
    <w:rsid w:val="337E678E"/>
    <w:rsid w:val="6EB14883"/>
    <w:rsid w:val="6F281AC4"/>
    <w:rsid w:val="78F148D9"/>
    <w:rsid w:val="79304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宋体" w:hAnsi="宋体" w:eastAsia="宋体" w:cs="Times New Roman"/>
      <w:bCs/>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2427</Words>
  <Characters>2486</Characters>
  <Lines>0</Lines>
  <Paragraphs>0</Paragraphs>
  <TotalTime>0</TotalTime>
  <ScaleCrop>false</ScaleCrop>
  <LinksUpToDate>false</LinksUpToDate>
  <CharactersWithSpaces>2488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2025-12-11T02:21:00Z</dcterms:created>
  <dc:creator>Administrator</dc:creator>
  <cp:lastModifiedBy>菩提树下</cp:lastModifiedBy>
  <cp:lastPrinted>2025-12-11T03:06:00Z</cp:lastPrinted>
  <dcterms:modified xsi:type="dcterms:W3CDTF">2025-12-11T09:11:17Z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eyJoZGlkIjoiYjgwOWQ0NGRiZTBkZWY4MmJjNzRhYjVjN2Y5ZmU1MDgiLCJ1c2VySWQiOiI0MzAyMjIyMDkifQ==</vt:lpwstr>
  </property>
  <property fmtid="{D5CDD505-2E9C-101B-9397-08002B2CF9AE}" pid="4" name="ICV">
    <vt:lpwstr>B923440BC5D244ACB86806BB122AD93E_13</vt:lpwstr>
  </property>
</Properties>
</file>